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D27" w:rsidRPr="00896F04" w:rsidRDefault="00896F04" w:rsidP="00896F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96F04">
        <w:rPr>
          <w:rFonts w:ascii="Arial" w:hAnsi="Arial" w:cs="Arial"/>
          <w:b/>
          <w:sz w:val="20"/>
          <w:szCs w:val="20"/>
        </w:rPr>
        <w:t xml:space="preserve">BADANIE LEKOWRAŻLIWOŚCI </w:t>
      </w:r>
      <w:r w:rsidRPr="00896F04">
        <w:rPr>
          <w:rFonts w:ascii="Arial" w:hAnsi="Arial" w:cs="Arial"/>
          <w:b/>
          <w:i/>
          <w:sz w:val="20"/>
          <w:szCs w:val="20"/>
        </w:rPr>
        <w:t>MYCOBACTERIUM KANSASII</w:t>
      </w:r>
      <w:r w:rsidRPr="00896F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METODĄ MIKROROCIEŃCZEŃ I Z WYKORZYSTANIEM </w:t>
      </w:r>
      <w:bookmarkStart w:id="0" w:name="_GoBack"/>
      <w:bookmarkEnd w:id="0"/>
      <w:r w:rsidRPr="00896F04">
        <w:rPr>
          <w:rFonts w:ascii="Arial" w:hAnsi="Arial" w:cs="Arial"/>
          <w:b/>
          <w:sz w:val="20"/>
          <w:szCs w:val="20"/>
        </w:rPr>
        <w:t xml:space="preserve">PAKSÓW E-TEST </w:t>
      </w:r>
    </w:p>
    <w:p w:rsidR="001428CD" w:rsidRPr="00896F04" w:rsidRDefault="001428CD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D27" w:rsidRPr="00896F04" w:rsidRDefault="00E74D27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96F04">
        <w:rPr>
          <w:rFonts w:ascii="Arial" w:hAnsi="Arial" w:cs="Arial"/>
          <w:sz w:val="20"/>
          <w:szCs w:val="20"/>
        </w:rPr>
        <w:t>Bakuła Zofia</w:t>
      </w:r>
      <w:r w:rsidRPr="00896F04">
        <w:rPr>
          <w:rFonts w:ascii="Arial" w:hAnsi="Arial" w:cs="Arial"/>
          <w:sz w:val="20"/>
          <w:szCs w:val="20"/>
          <w:vertAlign w:val="superscript"/>
        </w:rPr>
        <w:t>1</w:t>
      </w:r>
      <w:r w:rsidRPr="00896F04">
        <w:rPr>
          <w:rFonts w:ascii="Arial" w:hAnsi="Arial" w:cs="Arial"/>
          <w:sz w:val="20"/>
          <w:szCs w:val="20"/>
        </w:rPr>
        <w:t>, Modrzejewska Magdalena</w:t>
      </w:r>
      <w:r w:rsidRPr="00896F04">
        <w:rPr>
          <w:rFonts w:ascii="Arial" w:hAnsi="Arial" w:cs="Arial"/>
          <w:sz w:val="20"/>
          <w:szCs w:val="20"/>
          <w:vertAlign w:val="superscript"/>
        </w:rPr>
        <w:t>1</w:t>
      </w:r>
      <w:r w:rsidRPr="00896F0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6F04">
        <w:rPr>
          <w:rFonts w:ascii="Arial" w:hAnsi="Arial" w:cs="Arial"/>
          <w:sz w:val="20"/>
          <w:szCs w:val="20"/>
        </w:rPr>
        <w:t>Safianowska</w:t>
      </w:r>
      <w:proofErr w:type="spellEnd"/>
      <w:r w:rsidRPr="00896F04">
        <w:rPr>
          <w:rFonts w:ascii="Arial" w:hAnsi="Arial" w:cs="Arial"/>
          <w:sz w:val="20"/>
          <w:szCs w:val="20"/>
        </w:rPr>
        <w:t xml:space="preserve"> Aleksandra</w:t>
      </w:r>
      <w:r w:rsidRPr="00896F04">
        <w:rPr>
          <w:rFonts w:ascii="Arial" w:hAnsi="Arial" w:cs="Arial"/>
          <w:sz w:val="20"/>
          <w:szCs w:val="20"/>
          <w:vertAlign w:val="superscript"/>
        </w:rPr>
        <w:t>2</w:t>
      </w:r>
      <w:r w:rsidR="00E833A6" w:rsidRPr="00896F0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C1034" w:rsidRPr="00896F04">
        <w:rPr>
          <w:rFonts w:ascii="Arial" w:hAnsi="Arial" w:cs="Arial"/>
          <w:sz w:val="20"/>
          <w:szCs w:val="20"/>
        </w:rPr>
        <w:t>Jakko</w:t>
      </w:r>
      <w:proofErr w:type="spellEnd"/>
      <w:r w:rsidR="002C1034" w:rsidRPr="00896F04">
        <w:rPr>
          <w:rFonts w:ascii="Arial" w:hAnsi="Arial" w:cs="Arial"/>
          <w:sz w:val="20"/>
          <w:szCs w:val="20"/>
        </w:rPr>
        <w:t xml:space="preserve"> van Ingen</w:t>
      </w:r>
      <w:r w:rsidR="002C1034" w:rsidRPr="00896F04">
        <w:rPr>
          <w:rFonts w:ascii="Arial" w:hAnsi="Arial" w:cs="Arial"/>
          <w:sz w:val="20"/>
          <w:szCs w:val="20"/>
          <w:vertAlign w:val="superscript"/>
        </w:rPr>
        <w:t>3</w:t>
      </w:r>
      <w:r w:rsidR="002C1034" w:rsidRPr="00896F04">
        <w:rPr>
          <w:rFonts w:ascii="Arial" w:hAnsi="Arial" w:cs="Arial"/>
          <w:sz w:val="20"/>
          <w:szCs w:val="20"/>
        </w:rPr>
        <w:t xml:space="preserve">, </w:t>
      </w:r>
      <w:r w:rsidRPr="00896F04">
        <w:rPr>
          <w:rFonts w:ascii="Arial" w:hAnsi="Arial" w:cs="Arial"/>
          <w:sz w:val="20"/>
          <w:szCs w:val="20"/>
        </w:rPr>
        <w:t>Jagielski Tomasz</w:t>
      </w:r>
      <w:r w:rsidRPr="00896F04">
        <w:rPr>
          <w:rFonts w:ascii="Arial" w:hAnsi="Arial" w:cs="Arial"/>
          <w:sz w:val="20"/>
          <w:szCs w:val="20"/>
          <w:vertAlign w:val="superscript"/>
        </w:rPr>
        <w:t>1</w:t>
      </w:r>
      <w:r w:rsidR="00034C65" w:rsidRPr="00896F04">
        <w:rPr>
          <w:rFonts w:ascii="Arial" w:hAnsi="Arial" w:cs="Arial"/>
          <w:sz w:val="20"/>
          <w:szCs w:val="20"/>
          <w:vertAlign w:val="superscript"/>
        </w:rPr>
        <w:t>*</w:t>
      </w:r>
    </w:p>
    <w:p w:rsidR="00E74D27" w:rsidRPr="00896F04" w:rsidRDefault="00E74D27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D27" w:rsidRPr="00896F04" w:rsidRDefault="00E74D27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6F04">
        <w:rPr>
          <w:rFonts w:ascii="Arial" w:hAnsi="Arial" w:cs="Arial"/>
          <w:sz w:val="20"/>
          <w:szCs w:val="20"/>
          <w:vertAlign w:val="superscript"/>
        </w:rPr>
        <w:t>1</w:t>
      </w:r>
      <w:r w:rsidRPr="00896F04">
        <w:rPr>
          <w:rFonts w:ascii="Arial" w:hAnsi="Arial" w:cs="Arial"/>
          <w:sz w:val="20"/>
          <w:szCs w:val="20"/>
        </w:rPr>
        <w:t>Zakład Mikrobiologii Stosowanej, Instytut Mikrobiologii, Wydział Biologii, Uniwersytet Warszawski</w:t>
      </w:r>
    </w:p>
    <w:p w:rsidR="00E74D27" w:rsidRPr="00896F04" w:rsidRDefault="00E74D27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6F04">
        <w:rPr>
          <w:rFonts w:ascii="Arial" w:hAnsi="Arial" w:cs="Arial"/>
          <w:sz w:val="20"/>
          <w:szCs w:val="20"/>
          <w:vertAlign w:val="superscript"/>
        </w:rPr>
        <w:t>2</w:t>
      </w:r>
      <w:r w:rsidRPr="00896F04">
        <w:rPr>
          <w:rFonts w:ascii="Arial" w:hAnsi="Arial" w:cs="Arial"/>
          <w:sz w:val="20"/>
          <w:szCs w:val="20"/>
        </w:rPr>
        <w:t>Katedra i Klinika Chorób Wewnętrznyc</w:t>
      </w:r>
      <w:r w:rsidR="00C854A3" w:rsidRPr="00896F04">
        <w:rPr>
          <w:rFonts w:ascii="Arial" w:hAnsi="Arial" w:cs="Arial"/>
          <w:sz w:val="20"/>
          <w:szCs w:val="20"/>
        </w:rPr>
        <w:t xml:space="preserve">h, Pneumonologii i Alergologii, </w:t>
      </w:r>
      <w:r w:rsidRPr="00896F04">
        <w:rPr>
          <w:rFonts w:ascii="Arial" w:hAnsi="Arial" w:cs="Arial"/>
          <w:sz w:val="20"/>
          <w:szCs w:val="20"/>
        </w:rPr>
        <w:t>Warszawski Uniwersytet Medyczny</w:t>
      </w:r>
    </w:p>
    <w:p w:rsidR="002C1034" w:rsidRPr="00896F04" w:rsidRDefault="002C1034" w:rsidP="00896F0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96F04"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 w:rsidRPr="00896F04">
        <w:rPr>
          <w:rFonts w:ascii="Arial" w:hAnsi="Arial" w:cs="Arial"/>
          <w:sz w:val="20"/>
          <w:szCs w:val="20"/>
          <w:lang w:val="en-US"/>
        </w:rPr>
        <w:t xml:space="preserve">Department of Medical Microbiology, Radboud University Medical Center, Nijmegen, </w:t>
      </w:r>
      <w:proofErr w:type="spellStart"/>
      <w:r w:rsidRPr="00896F04">
        <w:rPr>
          <w:rFonts w:ascii="Arial" w:hAnsi="Arial" w:cs="Arial"/>
          <w:sz w:val="20"/>
          <w:szCs w:val="20"/>
          <w:lang w:val="en-US"/>
        </w:rPr>
        <w:t>Holandia</w:t>
      </w:r>
      <w:proofErr w:type="spellEnd"/>
    </w:p>
    <w:p w:rsidR="00C41824" w:rsidRPr="00896F04" w:rsidRDefault="00C41824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428CD" w:rsidRPr="00896F04" w:rsidRDefault="00896F04" w:rsidP="00896F0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96F04">
        <w:rPr>
          <w:rFonts w:ascii="Arial" w:hAnsi="Arial" w:cs="Arial"/>
          <w:b/>
          <w:sz w:val="20"/>
          <w:szCs w:val="20"/>
        </w:rPr>
        <w:t>Wstęp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E833A6" w:rsidRPr="00896F04">
        <w:rPr>
          <w:rFonts w:ascii="Arial" w:hAnsi="Arial" w:cs="Arial"/>
          <w:sz w:val="20"/>
          <w:szCs w:val="20"/>
        </w:rPr>
        <w:t xml:space="preserve">Prątki </w:t>
      </w:r>
      <w:r w:rsidR="00F869D4" w:rsidRPr="00896F04">
        <w:rPr>
          <w:rFonts w:ascii="Arial" w:hAnsi="Arial" w:cs="Arial"/>
          <w:i/>
          <w:sz w:val="20"/>
          <w:szCs w:val="20"/>
        </w:rPr>
        <w:t>Mycobacterium kansasii</w:t>
      </w:r>
      <w:r w:rsidR="00E833A6" w:rsidRPr="00896F04">
        <w:rPr>
          <w:rFonts w:ascii="Arial" w:hAnsi="Arial" w:cs="Arial"/>
          <w:b/>
          <w:sz w:val="20"/>
          <w:szCs w:val="20"/>
        </w:rPr>
        <w:t xml:space="preserve"> </w:t>
      </w:r>
      <w:r w:rsidR="00E833A6" w:rsidRPr="00896F04">
        <w:rPr>
          <w:rFonts w:ascii="Arial" w:hAnsi="Arial" w:cs="Arial"/>
          <w:sz w:val="20"/>
          <w:szCs w:val="20"/>
        </w:rPr>
        <w:t xml:space="preserve">należą do </w:t>
      </w:r>
      <w:r w:rsidR="004A3CF2" w:rsidRPr="00896F04">
        <w:rPr>
          <w:rFonts w:ascii="Arial" w:hAnsi="Arial" w:cs="Arial"/>
          <w:sz w:val="20"/>
          <w:szCs w:val="20"/>
        </w:rPr>
        <w:t>wolnorosnących</w:t>
      </w:r>
      <w:r w:rsidR="00F869D4" w:rsidRPr="00896F04">
        <w:rPr>
          <w:rFonts w:ascii="Arial" w:hAnsi="Arial" w:cs="Arial"/>
          <w:sz w:val="20"/>
          <w:szCs w:val="20"/>
        </w:rPr>
        <w:t xml:space="preserve"> prątk</w:t>
      </w:r>
      <w:r w:rsidR="00E833A6" w:rsidRPr="00896F04">
        <w:rPr>
          <w:rFonts w:ascii="Arial" w:hAnsi="Arial" w:cs="Arial"/>
          <w:sz w:val="20"/>
          <w:szCs w:val="20"/>
        </w:rPr>
        <w:t>ów</w:t>
      </w:r>
      <w:r w:rsidR="00F869D4" w:rsidRPr="00896F04">
        <w:rPr>
          <w:rFonts w:ascii="Arial" w:hAnsi="Arial" w:cs="Arial"/>
          <w:sz w:val="20"/>
          <w:szCs w:val="20"/>
        </w:rPr>
        <w:t xml:space="preserve"> niegruźliczy</w:t>
      </w:r>
      <w:r w:rsidR="00E833A6" w:rsidRPr="00896F04">
        <w:rPr>
          <w:rFonts w:ascii="Arial" w:hAnsi="Arial" w:cs="Arial"/>
          <w:sz w:val="20"/>
          <w:szCs w:val="20"/>
        </w:rPr>
        <w:t>ch</w:t>
      </w:r>
      <w:r w:rsidR="008F0741" w:rsidRPr="00896F04">
        <w:rPr>
          <w:rFonts w:ascii="Arial" w:hAnsi="Arial" w:cs="Arial"/>
          <w:i/>
          <w:sz w:val="20"/>
          <w:szCs w:val="20"/>
        </w:rPr>
        <w:t xml:space="preserve"> </w:t>
      </w:r>
      <w:r w:rsidR="008F0741" w:rsidRPr="00896F04">
        <w:rPr>
          <w:rFonts w:ascii="Arial" w:hAnsi="Arial" w:cs="Arial"/>
          <w:sz w:val="20"/>
          <w:szCs w:val="20"/>
        </w:rPr>
        <w:t xml:space="preserve">(NTM, ang. </w:t>
      </w:r>
      <w:proofErr w:type="spellStart"/>
      <w:r w:rsidR="008F0741" w:rsidRPr="00896F04">
        <w:rPr>
          <w:rFonts w:ascii="Arial" w:hAnsi="Arial" w:cs="Arial"/>
          <w:i/>
          <w:sz w:val="20"/>
          <w:szCs w:val="20"/>
        </w:rPr>
        <w:t>nontuberculous</w:t>
      </w:r>
      <w:proofErr w:type="spellEnd"/>
      <w:r w:rsidR="008F0741" w:rsidRPr="00896F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F0741" w:rsidRPr="00896F04">
        <w:rPr>
          <w:rFonts w:ascii="Arial" w:hAnsi="Arial" w:cs="Arial"/>
          <w:i/>
          <w:sz w:val="20"/>
          <w:szCs w:val="20"/>
        </w:rPr>
        <w:t>mycobacteria</w:t>
      </w:r>
      <w:proofErr w:type="spellEnd"/>
      <w:r w:rsidR="008F0741" w:rsidRPr="00896F04">
        <w:rPr>
          <w:rFonts w:ascii="Arial" w:hAnsi="Arial" w:cs="Arial"/>
          <w:sz w:val="20"/>
          <w:szCs w:val="20"/>
        </w:rPr>
        <w:t>)</w:t>
      </w:r>
      <w:r w:rsidR="00E833A6" w:rsidRPr="00896F04">
        <w:rPr>
          <w:rFonts w:ascii="Arial" w:hAnsi="Arial" w:cs="Arial"/>
          <w:sz w:val="20"/>
          <w:szCs w:val="20"/>
        </w:rPr>
        <w:t xml:space="preserve">, </w:t>
      </w:r>
      <w:r w:rsidR="00114654" w:rsidRPr="00896F04">
        <w:rPr>
          <w:rFonts w:ascii="Arial" w:hAnsi="Arial" w:cs="Arial"/>
          <w:sz w:val="20"/>
          <w:szCs w:val="20"/>
        </w:rPr>
        <w:t>wywołujących</w:t>
      </w:r>
      <w:r w:rsidR="00E833A6" w:rsidRPr="00896F04">
        <w:rPr>
          <w:rFonts w:ascii="Arial" w:hAnsi="Arial" w:cs="Arial"/>
          <w:sz w:val="20"/>
          <w:szCs w:val="20"/>
        </w:rPr>
        <w:t xml:space="preserve"> oportunistycz</w:t>
      </w:r>
      <w:r w:rsidR="00114654" w:rsidRPr="00896F04">
        <w:rPr>
          <w:rFonts w:ascii="Arial" w:hAnsi="Arial" w:cs="Arial"/>
          <w:sz w:val="20"/>
          <w:szCs w:val="20"/>
        </w:rPr>
        <w:t xml:space="preserve">ne zakażenia u ludzi i zwierząt, zwykle przewlekłą chorobę płuc, klinicznie imitującej gruźlicę. W Europie, </w:t>
      </w:r>
      <w:r w:rsidR="006531A6" w:rsidRPr="00896F04">
        <w:rPr>
          <w:rFonts w:ascii="Arial" w:hAnsi="Arial" w:cs="Arial"/>
          <w:sz w:val="20"/>
          <w:szCs w:val="20"/>
        </w:rPr>
        <w:t xml:space="preserve">Polska zajmuje po Słowacji drugie miejsce w Europie pod względem częstości izolacji </w:t>
      </w:r>
      <w:r w:rsidR="006531A6" w:rsidRPr="00896F04">
        <w:rPr>
          <w:rFonts w:ascii="Arial" w:hAnsi="Arial" w:cs="Arial"/>
          <w:i/>
          <w:sz w:val="20"/>
          <w:szCs w:val="20"/>
        </w:rPr>
        <w:t xml:space="preserve">M. kansasii </w:t>
      </w:r>
      <w:r w:rsidR="006531A6" w:rsidRPr="00896F04">
        <w:rPr>
          <w:rFonts w:ascii="Arial" w:hAnsi="Arial" w:cs="Arial"/>
          <w:sz w:val="20"/>
          <w:szCs w:val="20"/>
        </w:rPr>
        <w:t xml:space="preserve">z próbek klinicznych (aż 35% izolowanych NTM to </w:t>
      </w:r>
      <w:r w:rsidR="006531A6" w:rsidRPr="00896F04">
        <w:rPr>
          <w:rFonts w:ascii="Arial" w:hAnsi="Arial" w:cs="Arial"/>
          <w:i/>
          <w:sz w:val="20"/>
          <w:szCs w:val="20"/>
        </w:rPr>
        <w:t>M. kansasii</w:t>
      </w:r>
      <w:r w:rsidR="006531A6" w:rsidRPr="00896F04">
        <w:rPr>
          <w:rFonts w:ascii="Arial" w:hAnsi="Arial" w:cs="Arial"/>
          <w:sz w:val="20"/>
          <w:szCs w:val="20"/>
        </w:rPr>
        <w:t xml:space="preserve">). </w:t>
      </w:r>
      <w:r w:rsidR="001428CD" w:rsidRPr="00896F04">
        <w:rPr>
          <w:rFonts w:ascii="Arial" w:hAnsi="Arial" w:cs="Arial"/>
          <w:sz w:val="20"/>
          <w:szCs w:val="20"/>
        </w:rPr>
        <w:t xml:space="preserve">Zarówno dla </w:t>
      </w:r>
      <w:r w:rsidR="001428CD" w:rsidRPr="00896F04">
        <w:rPr>
          <w:rFonts w:ascii="Arial" w:hAnsi="Arial" w:cs="Arial"/>
          <w:i/>
          <w:sz w:val="20"/>
          <w:szCs w:val="20"/>
        </w:rPr>
        <w:t>M. kansasii</w:t>
      </w:r>
      <w:r w:rsidR="001428CD" w:rsidRPr="00896F04">
        <w:rPr>
          <w:rFonts w:ascii="Arial" w:hAnsi="Arial" w:cs="Arial"/>
          <w:sz w:val="20"/>
          <w:szCs w:val="20"/>
        </w:rPr>
        <w:t>, jak i innych prątków atypowych wciąż brakuje danych dotyczących lekowrażliwości oraz wystandaryzowanych metod jej oznaczania.</w:t>
      </w:r>
      <w:r w:rsidR="00E36DA0" w:rsidRPr="00896F04">
        <w:rPr>
          <w:rFonts w:ascii="Arial" w:hAnsi="Arial" w:cs="Arial"/>
          <w:sz w:val="20"/>
          <w:szCs w:val="20"/>
        </w:rPr>
        <w:t xml:space="preserve"> Nie znane są także molekularne podstawy oporności </w:t>
      </w:r>
      <w:r w:rsidR="00E36DA0" w:rsidRPr="00896F04">
        <w:rPr>
          <w:rFonts w:ascii="Arial" w:hAnsi="Arial" w:cs="Arial"/>
          <w:i/>
          <w:sz w:val="20"/>
          <w:szCs w:val="20"/>
        </w:rPr>
        <w:t>M. kansasii</w:t>
      </w:r>
      <w:r w:rsidR="00E36DA0" w:rsidRPr="00896F04">
        <w:rPr>
          <w:rFonts w:ascii="Arial" w:hAnsi="Arial" w:cs="Arial"/>
          <w:sz w:val="20"/>
          <w:szCs w:val="20"/>
        </w:rPr>
        <w:t xml:space="preserve"> na leki. </w:t>
      </w:r>
    </w:p>
    <w:p w:rsidR="007937DE" w:rsidRPr="00896F04" w:rsidRDefault="007937DE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DA0" w:rsidRPr="00896F04" w:rsidRDefault="00485250" w:rsidP="00896F0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96F04">
        <w:rPr>
          <w:rFonts w:ascii="Arial" w:hAnsi="Arial" w:cs="Arial"/>
          <w:b/>
          <w:sz w:val="20"/>
          <w:szCs w:val="20"/>
        </w:rPr>
        <w:t>C</w:t>
      </w:r>
      <w:r w:rsidR="00896F04">
        <w:rPr>
          <w:rFonts w:ascii="Arial" w:hAnsi="Arial" w:cs="Arial"/>
          <w:b/>
          <w:sz w:val="20"/>
          <w:szCs w:val="20"/>
        </w:rPr>
        <w:t xml:space="preserve">el: </w:t>
      </w:r>
      <w:r w:rsidR="001428CD" w:rsidRPr="00896F04">
        <w:rPr>
          <w:rFonts w:ascii="Arial" w:hAnsi="Arial" w:cs="Arial"/>
          <w:sz w:val="20"/>
          <w:szCs w:val="20"/>
        </w:rPr>
        <w:t xml:space="preserve">Celem pracy było określenie wrażliwości szczepów </w:t>
      </w:r>
      <w:proofErr w:type="gramStart"/>
      <w:r w:rsidR="001428CD" w:rsidRPr="00896F04">
        <w:rPr>
          <w:rFonts w:ascii="Arial" w:hAnsi="Arial" w:cs="Arial"/>
          <w:sz w:val="20"/>
          <w:szCs w:val="20"/>
        </w:rPr>
        <w:t xml:space="preserve">klinicznych </w:t>
      </w:r>
      <w:r w:rsidR="00335274" w:rsidRPr="00896F04">
        <w:rPr>
          <w:rFonts w:ascii="Arial" w:hAnsi="Arial" w:cs="Arial"/>
          <w:sz w:val="20"/>
          <w:szCs w:val="20"/>
        </w:rPr>
        <w:t xml:space="preserve"> </w:t>
      </w:r>
      <w:r w:rsidR="001428CD" w:rsidRPr="00896F04">
        <w:rPr>
          <w:rFonts w:ascii="Arial" w:hAnsi="Arial" w:cs="Arial"/>
          <w:i/>
          <w:sz w:val="20"/>
          <w:szCs w:val="20"/>
        </w:rPr>
        <w:t>M</w:t>
      </w:r>
      <w:r w:rsidR="007937DE" w:rsidRPr="00896F04">
        <w:rPr>
          <w:rFonts w:ascii="Arial" w:hAnsi="Arial" w:cs="Arial"/>
          <w:i/>
          <w:sz w:val="20"/>
          <w:szCs w:val="20"/>
        </w:rPr>
        <w:t>.</w:t>
      </w:r>
      <w:proofErr w:type="gramEnd"/>
      <w:r w:rsidR="001428CD" w:rsidRPr="00896F04">
        <w:rPr>
          <w:rFonts w:ascii="Arial" w:hAnsi="Arial" w:cs="Arial"/>
          <w:i/>
          <w:sz w:val="20"/>
          <w:szCs w:val="20"/>
        </w:rPr>
        <w:t> kansasii</w:t>
      </w:r>
      <w:r w:rsidR="00335274" w:rsidRPr="00896F04">
        <w:rPr>
          <w:rFonts w:ascii="Arial" w:hAnsi="Arial" w:cs="Arial"/>
          <w:sz w:val="20"/>
          <w:szCs w:val="20"/>
        </w:rPr>
        <w:t xml:space="preserve">  </w:t>
      </w:r>
      <w:r w:rsidR="001428CD" w:rsidRPr="00896F04">
        <w:rPr>
          <w:rFonts w:ascii="Arial" w:hAnsi="Arial" w:cs="Arial"/>
          <w:sz w:val="20"/>
          <w:szCs w:val="20"/>
        </w:rPr>
        <w:t xml:space="preserve">na  </w:t>
      </w:r>
      <w:r w:rsidR="007937DE" w:rsidRPr="00896F04">
        <w:rPr>
          <w:rFonts w:ascii="Arial" w:hAnsi="Arial" w:cs="Arial"/>
          <w:sz w:val="20"/>
          <w:szCs w:val="20"/>
        </w:rPr>
        <w:t>powszechnie stosowane w </w:t>
      </w:r>
      <w:r w:rsidR="001428CD" w:rsidRPr="00896F04">
        <w:rPr>
          <w:rFonts w:ascii="Arial" w:hAnsi="Arial" w:cs="Arial"/>
          <w:sz w:val="20"/>
          <w:szCs w:val="20"/>
        </w:rPr>
        <w:t>terapiach przeciwprątkowych lek</w:t>
      </w:r>
      <w:r w:rsidR="007937DE" w:rsidRPr="00896F04">
        <w:rPr>
          <w:rFonts w:ascii="Arial" w:hAnsi="Arial" w:cs="Arial"/>
          <w:sz w:val="20"/>
          <w:szCs w:val="20"/>
        </w:rPr>
        <w:t>i</w:t>
      </w:r>
      <w:r w:rsidR="00E36DA0" w:rsidRPr="00896F04">
        <w:rPr>
          <w:rFonts w:ascii="Arial" w:hAnsi="Arial" w:cs="Arial"/>
          <w:sz w:val="20"/>
          <w:szCs w:val="20"/>
        </w:rPr>
        <w:t>,</w:t>
      </w:r>
      <w:r w:rsidR="007937DE" w:rsidRPr="00896F04">
        <w:rPr>
          <w:rFonts w:ascii="Arial" w:hAnsi="Arial" w:cs="Arial"/>
          <w:sz w:val="20"/>
          <w:szCs w:val="20"/>
        </w:rPr>
        <w:t xml:space="preserve"> dwoma metodami tj. referencyjną metoda </w:t>
      </w:r>
      <w:proofErr w:type="spellStart"/>
      <w:r w:rsidR="007937DE" w:rsidRPr="00896F04">
        <w:rPr>
          <w:rFonts w:ascii="Arial" w:hAnsi="Arial" w:cs="Arial"/>
          <w:sz w:val="20"/>
          <w:szCs w:val="20"/>
        </w:rPr>
        <w:t>mikrozocieńczeń</w:t>
      </w:r>
      <w:proofErr w:type="spellEnd"/>
      <w:r w:rsidR="007937DE" w:rsidRPr="00896F04">
        <w:rPr>
          <w:rFonts w:ascii="Arial" w:hAnsi="Arial" w:cs="Arial"/>
          <w:sz w:val="20"/>
          <w:szCs w:val="20"/>
        </w:rPr>
        <w:t xml:space="preserve"> i z wykorzystaniem pasków E-test (</w:t>
      </w:r>
      <w:proofErr w:type="spellStart"/>
      <w:r w:rsidR="007937DE" w:rsidRPr="00896F04">
        <w:rPr>
          <w:rFonts w:ascii="Arial" w:hAnsi="Arial" w:cs="Arial"/>
          <w:sz w:val="20"/>
          <w:szCs w:val="20"/>
        </w:rPr>
        <w:t>Biomerieux</w:t>
      </w:r>
      <w:proofErr w:type="spellEnd"/>
      <w:r w:rsidR="007937DE" w:rsidRPr="00896F04">
        <w:rPr>
          <w:rFonts w:ascii="Arial" w:hAnsi="Arial" w:cs="Arial"/>
          <w:sz w:val="20"/>
          <w:szCs w:val="20"/>
        </w:rPr>
        <w:t>, Marcy-l'Étoile, Francja).</w:t>
      </w:r>
      <w:r w:rsidR="00E36DA0" w:rsidRPr="00896F04">
        <w:rPr>
          <w:rFonts w:ascii="Arial" w:hAnsi="Arial" w:cs="Arial"/>
          <w:sz w:val="20"/>
          <w:szCs w:val="20"/>
        </w:rPr>
        <w:t xml:space="preserve"> Dodatkowo, aby poznać molekularne podstawy oporności </w:t>
      </w:r>
      <w:r w:rsidR="00E36DA0" w:rsidRPr="00896F04">
        <w:rPr>
          <w:rFonts w:ascii="Arial" w:hAnsi="Arial" w:cs="Arial"/>
          <w:i/>
          <w:sz w:val="20"/>
          <w:szCs w:val="20"/>
        </w:rPr>
        <w:t>M. kansasii</w:t>
      </w:r>
      <w:r w:rsidR="00E36DA0" w:rsidRPr="00896F04">
        <w:rPr>
          <w:rFonts w:ascii="Arial" w:hAnsi="Arial" w:cs="Arial"/>
          <w:sz w:val="20"/>
          <w:szCs w:val="20"/>
        </w:rPr>
        <w:t>, dla szczepów opornych i wrażliwych (</w:t>
      </w:r>
      <w:r w:rsidR="00C23448" w:rsidRPr="00896F04">
        <w:rPr>
          <w:rFonts w:ascii="Arial" w:hAnsi="Arial" w:cs="Arial"/>
          <w:sz w:val="20"/>
          <w:szCs w:val="20"/>
        </w:rPr>
        <w:t xml:space="preserve">bądź </w:t>
      </w:r>
      <w:r w:rsidR="00E36DA0" w:rsidRPr="00896F04">
        <w:rPr>
          <w:rFonts w:ascii="Arial" w:hAnsi="Arial" w:cs="Arial"/>
          <w:sz w:val="20"/>
          <w:szCs w:val="20"/>
        </w:rPr>
        <w:t xml:space="preserve">o wysokim/niskim MIC) na dany lek sekwencjonowano geny/regiony międzygenowe wiązane wcześniej z opornością w </w:t>
      </w:r>
      <w:r w:rsidR="00E36DA0" w:rsidRPr="00896F04">
        <w:rPr>
          <w:rFonts w:ascii="Arial" w:hAnsi="Arial" w:cs="Arial"/>
          <w:i/>
          <w:sz w:val="20"/>
          <w:szCs w:val="20"/>
        </w:rPr>
        <w:t>M. tuberculosis</w:t>
      </w:r>
      <w:r w:rsidR="00E36DA0" w:rsidRPr="00896F04">
        <w:rPr>
          <w:rFonts w:ascii="Arial" w:hAnsi="Arial" w:cs="Arial"/>
          <w:sz w:val="20"/>
          <w:szCs w:val="20"/>
        </w:rPr>
        <w:t>.</w:t>
      </w:r>
    </w:p>
    <w:p w:rsidR="00E36DA0" w:rsidRPr="00896F04" w:rsidRDefault="00E36DA0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37DE" w:rsidRPr="00896F04" w:rsidRDefault="00896F04" w:rsidP="00896F0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96F04">
        <w:rPr>
          <w:rFonts w:ascii="Arial" w:hAnsi="Arial" w:cs="Arial"/>
          <w:b/>
          <w:sz w:val="20"/>
          <w:szCs w:val="20"/>
        </w:rPr>
        <w:t>Materiał i metody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335274" w:rsidRPr="00896F04">
        <w:rPr>
          <w:rFonts w:ascii="Arial" w:hAnsi="Arial" w:cs="Arial"/>
          <w:sz w:val="20"/>
          <w:szCs w:val="20"/>
        </w:rPr>
        <w:t xml:space="preserve">Badanie objęło 62 szczepy </w:t>
      </w:r>
      <w:r w:rsidR="00335274" w:rsidRPr="00896F04">
        <w:rPr>
          <w:rFonts w:ascii="Arial" w:hAnsi="Arial" w:cs="Arial"/>
          <w:i/>
          <w:sz w:val="20"/>
          <w:szCs w:val="20"/>
        </w:rPr>
        <w:t>M. kansasii</w:t>
      </w:r>
      <w:r w:rsidR="00335274" w:rsidRPr="00896F04">
        <w:rPr>
          <w:rFonts w:ascii="Arial" w:hAnsi="Arial" w:cs="Arial"/>
          <w:sz w:val="20"/>
          <w:szCs w:val="20"/>
        </w:rPr>
        <w:t xml:space="preserve"> wyizolowane w latach 2000-2015 w Szpitalu Klinicznym Warszawskiego Uniwersytetu Medycznego od chorych z pierwotnym podejrzeniem gruźlicy. Badane szczepy pochodziły od pojedynczych pacjentów (40 kobiet i 22 mężczyzn; przekrój wiekowy: 21-89 lat; średnia wieku: 64±18 lat). </w:t>
      </w:r>
      <w:r w:rsidR="002C1034" w:rsidRPr="00896F04">
        <w:rPr>
          <w:rFonts w:ascii="Arial" w:hAnsi="Arial" w:cs="Arial"/>
          <w:sz w:val="20"/>
          <w:szCs w:val="20"/>
        </w:rPr>
        <w:t xml:space="preserve">Do badania włączono także 23 przedstawicieli typów genetycznych </w:t>
      </w:r>
      <w:r w:rsidR="002C1034" w:rsidRPr="00896F04">
        <w:rPr>
          <w:rFonts w:ascii="Arial" w:hAnsi="Arial" w:cs="Arial"/>
          <w:i/>
          <w:sz w:val="20"/>
          <w:szCs w:val="20"/>
        </w:rPr>
        <w:t>M. kansasii</w:t>
      </w:r>
      <w:r w:rsidR="002C1034" w:rsidRPr="00896F04">
        <w:rPr>
          <w:rFonts w:ascii="Arial" w:hAnsi="Arial" w:cs="Arial"/>
          <w:sz w:val="20"/>
          <w:szCs w:val="20"/>
        </w:rPr>
        <w:t xml:space="preserve"> (I-VI; I/II; IIB).</w:t>
      </w:r>
      <w:r w:rsidR="00E36DA0" w:rsidRPr="00896F04">
        <w:rPr>
          <w:rFonts w:ascii="Arial" w:hAnsi="Arial" w:cs="Arial"/>
          <w:sz w:val="20"/>
          <w:szCs w:val="20"/>
        </w:rPr>
        <w:t xml:space="preserve"> </w:t>
      </w:r>
    </w:p>
    <w:p w:rsidR="00E36DA0" w:rsidRPr="00896F04" w:rsidRDefault="007937DE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6F04">
        <w:rPr>
          <w:rFonts w:ascii="Arial" w:hAnsi="Arial" w:cs="Arial"/>
          <w:sz w:val="20"/>
          <w:szCs w:val="20"/>
        </w:rPr>
        <w:t xml:space="preserve">Oznaczenia przeprowadzono dla 13 leków (rifampicyna, RIF; klarytromycyna, CLR; izoniazyd, INH; etambutol, EMB; streptomycyna, STR; amikacyna, AMK, kotrimoksazol, SXT; rifabutyna, RFB; moksifloksacyna, MXF; linezolid, LZD; ciprofloksacyna, CIP; doksycyklina, DOX; etionamid, ETO) metodą mikrorozcieńczeń (SLOMYCO Sensititre®, TREK Diagnostic Systems, Cleveland, USA) i 8 leków dostępnych komercyjnie jako paski E-test (RIF; CLR; INH; EMB; STR; AMK; SXT i kanamycyna, KAN). </w:t>
      </w:r>
    </w:p>
    <w:p w:rsidR="00335274" w:rsidRPr="00896F04" w:rsidRDefault="006A091F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6F04">
        <w:rPr>
          <w:rFonts w:ascii="Arial" w:hAnsi="Arial" w:cs="Arial"/>
          <w:sz w:val="20"/>
          <w:szCs w:val="20"/>
        </w:rPr>
        <w:t xml:space="preserve">Krytyczne stężenia leków stosowane w metodzie mikrozcieńczeń były oparte na wytycznych Clinical &amp; </w:t>
      </w:r>
      <w:proofErr w:type="spellStart"/>
      <w:r w:rsidRPr="00896F04">
        <w:rPr>
          <w:rFonts w:ascii="Arial" w:hAnsi="Arial" w:cs="Arial"/>
          <w:sz w:val="20"/>
          <w:szCs w:val="20"/>
        </w:rPr>
        <w:t>Laboratory</w:t>
      </w:r>
      <w:proofErr w:type="spellEnd"/>
      <w:r w:rsidRPr="00896F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6F04">
        <w:rPr>
          <w:rFonts w:ascii="Arial" w:hAnsi="Arial" w:cs="Arial"/>
          <w:sz w:val="20"/>
          <w:szCs w:val="20"/>
        </w:rPr>
        <w:t>Standards</w:t>
      </w:r>
      <w:proofErr w:type="spellEnd"/>
      <w:r w:rsidRPr="00896F04">
        <w:rPr>
          <w:rFonts w:ascii="Arial" w:hAnsi="Arial" w:cs="Arial"/>
          <w:sz w:val="20"/>
          <w:szCs w:val="20"/>
        </w:rPr>
        <w:t xml:space="preserve"> Institute (CLSI). </w:t>
      </w:r>
    </w:p>
    <w:p w:rsidR="00E36DA0" w:rsidRPr="00896F04" w:rsidRDefault="00E36DA0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6F04">
        <w:rPr>
          <w:rFonts w:ascii="Arial" w:hAnsi="Arial" w:cs="Arial"/>
          <w:sz w:val="20"/>
          <w:szCs w:val="20"/>
        </w:rPr>
        <w:t xml:space="preserve">Do analiz sekwencyjnej włączono 10 loci tj. </w:t>
      </w:r>
      <w:r w:rsidRPr="00896F04">
        <w:rPr>
          <w:rFonts w:ascii="Arial" w:hAnsi="Arial" w:cs="Arial"/>
          <w:i/>
          <w:sz w:val="20"/>
          <w:szCs w:val="20"/>
        </w:rPr>
        <w:t xml:space="preserve">rpoB </w:t>
      </w:r>
      <w:r w:rsidRPr="00896F04">
        <w:rPr>
          <w:rFonts w:ascii="Arial" w:hAnsi="Arial" w:cs="Arial"/>
          <w:sz w:val="20"/>
          <w:szCs w:val="20"/>
        </w:rPr>
        <w:t xml:space="preserve">(RIF), </w:t>
      </w:r>
      <w:r w:rsidRPr="00896F04">
        <w:rPr>
          <w:rFonts w:ascii="Arial" w:hAnsi="Arial" w:cs="Arial"/>
          <w:i/>
          <w:sz w:val="20"/>
          <w:szCs w:val="20"/>
        </w:rPr>
        <w:t>rrl</w:t>
      </w:r>
      <w:r w:rsidRPr="00896F04">
        <w:rPr>
          <w:rFonts w:ascii="Arial" w:hAnsi="Arial" w:cs="Arial"/>
          <w:sz w:val="20"/>
          <w:szCs w:val="20"/>
        </w:rPr>
        <w:t xml:space="preserve"> (CLR), </w:t>
      </w:r>
      <w:r w:rsidRPr="00896F04">
        <w:rPr>
          <w:rFonts w:ascii="Arial" w:hAnsi="Arial" w:cs="Arial"/>
          <w:i/>
          <w:sz w:val="20"/>
          <w:szCs w:val="20"/>
        </w:rPr>
        <w:t>katG</w:t>
      </w:r>
      <w:r w:rsidRPr="00896F04">
        <w:rPr>
          <w:rFonts w:ascii="Arial" w:hAnsi="Arial" w:cs="Arial"/>
          <w:sz w:val="20"/>
          <w:szCs w:val="20"/>
        </w:rPr>
        <w:t xml:space="preserve"> (INH), </w:t>
      </w:r>
      <w:r w:rsidRPr="00896F04">
        <w:rPr>
          <w:rFonts w:ascii="Arial" w:hAnsi="Arial" w:cs="Arial"/>
          <w:i/>
          <w:sz w:val="20"/>
          <w:szCs w:val="20"/>
        </w:rPr>
        <w:t>embB</w:t>
      </w:r>
      <w:r w:rsidRPr="00896F04">
        <w:rPr>
          <w:rFonts w:ascii="Arial" w:hAnsi="Arial" w:cs="Arial"/>
          <w:sz w:val="20"/>
          <w:szCs w:val="20"/>
        </w:rPr>
        <w:t xml:space="preserve"> i </w:t>
      </w:r>
      <w:r w:rsidRPr="00896F04">
        <w:rPr>
          <w:rFonts w:ascii="Arial" w:hAnsi="Arial" w:cs="Arial"/>
          <w:i/>
          <w:sz w:val="20"/>
          <w:szCs w:val="20"/>
        </w:rPr>
        <w:t>embCA</w:t>
      </w:r>
      <w:r w:rsidRPr="00896F04">
        <w:rPr>
          <w:rFonts w:ascii="Arial" w:hAnsi="Arial" w:cs="Arial"/>
          <w:sz w:val="20"/>
          <w:szCs w:val="20"/>
        </w:rPr>
        <w:t xml:space="preserve"> (EMB), </w:t>
      </w:r>
      <w:r w:rsidRPr="00896F04">
        <w:rPr>
          <w:rFonts w:ascii="Arial" w:hAnsi="Arial" w:cs="Arial"/>
          <w:i/>
          <w:sz w:val="20"/>
          <w:szCs w:val="20"/>
        </w:rPr>
        <w:t>rpsL</w:t>
      </w:r>
      <w:r w:rsidRPr="00896F04">
        <w:rPr>
          <w:rFonts w:ascii="Arial" w:hAnsi="Arial" w:cs="Arial"/>
          <w:sz w:val="20"/>
          <w:szCs w:val="20"/>
        </w:rPr>
        <w:t xml:space="preserve"> (STR), </w:t>
      </w:r>
      <w:r w:rsidRPr="00896F04">
        <w:rPr>
          <w:rFonts w:ascii="Arial" w:hAnsi="Arial" w:cs="Arial"/>
          <w:i/>
          <w:sz w:val="20"/>
          <w:szCs w:val="20"/>
        </w:rPr>
        <w:t>rrs</w:t>
      </w:r>
      <w:r w:rsidRPr="00896F04">
        <w:rPr>
          <w:rFonts w:ascii="Arial" w:hAnsi="Arial" w:cs="Arial"/>
          <w:sz w:val="20"/>
          <w:szCs w:val="20"/>
        </w:rPr>
        <w:t xml:space="preserve"> (AMK, KAN i STR), </w:t>
      </w:r>
      <w:r w:rsidRPr="00896F04">
        <w:rPr>
          <w:rFonts w:ascii="Arial" w:hAnsi="Arial" w:cs="Arial"/>
          <w:i/>
          <w:sz w:val="20"/>
          <w:szCs w:val="20"/>
        </w:rPr>
        <w:t>thyA</w:t>
      </w:r>
      <w:r w:rsidRPr="00896F04">
        <w:rPr>
          <w:rFonts w:ascii="Arial" w:hAnsi="Arial" w:cs="Arial"/>
          <w:sz w:val="20"/>
          <w:szCs w:val="20"/>
        </w:rPr>
        <w:t xml:space="preserve"> (SXT), </w:t>
      </w:r>
      <w:r w:rsidRPr="00896F04">
        <w:rPr>
          <w:rFonts w:ascii="Arial" w:hAnsi="Arial" w:cs="Arial"/>
          <w:i/>
          <w:sz w:val="20"/>
          <w:szCs w:val="20"/>
        </w:rPr>
        <w:t>gyrA</w:t>
      </w:r>
      <w:r w:rsidRPr="00896F04">
        <w:rPr>
          <w:rFonts w:ascii="Arial" w:hAnsi="Arial" w:cs="Arial"/>
          <w:sz w:val="20"/>
          <w:szCs w:val="20"/>
        </w:rPr>
        <w:t xml:space="preserve"> i </w:t>
      </w:r>
      <w:r w:rsidRPr="00896F04">
        <w:rPr>
          <w:rFonts w:ascii="Arial" w:hAnsi="Arial" w:cs="Arial"/>
          <w:i/>
          <w:sz w:val="20"/>
          <w:szCs w:val="20"/>
        </w:rPr>
        <w:t xml:space="preserve">gyrB </w:t>
      </w:r>
      <w:r w:rsidRPr="00896F04">
        <w:rPr>
          <w:rFonts w:ascii="Arial" w:hAnsi="Arial" w:cs="Arial"/>
          <w:sz w:val="20"/>
          <w:szCs w:val="20"/>
        </w:rPr>
        <w:t>(CIP).</w:t>
      </w:r>
    </w:p>
    <w:p w:rsidR="007151D4" w:rsidRPr="00896F04" w:rsidRDefault="007151D4" w:rsidP="00896F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034" w:rsidRPr="00896F04" w:rsidRDefault="00896F04" w:rsidP="00896F0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96F04">
        <w:rPr>
          <w:rFonts w:ascii="Arial" w:hAnsi="Arial" w:cs="Arial"/>
          <w:b/>
          <w:sz w:val="20"/>
          <w:szCs w:val="20"/>
        </w:rPr>
        <w:t>Wyniki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2C1034" w:rsidRPr="00896F04">
        <w:rPr>
          <w:rFonts w:ascii="Arial" w:hAnsi="Arial" w:cs="Arial"/>
          <w:sz w:val="20"/>
          <w:szCs w:val="20"/>
        </w:rPr>
        <w:t>Wszystkie badane szczepy okazały się wrażliwe na SXT, RFB, MOX i LZD. Liczba szczepów opornych na EMB, CIP i RIF wyniosła odpowiednio 83 (97,7%), 16 (18,8%), i 2 (2,3%). Jeden szczep (1/85; 1,2%) okazał się oporny na CLR i jeden (1/85; 1,2%) na AMK (1/85; 1,2%). Mediana MIC określona metodą rozcieńczeń znacząco różniła się od tej oznaczonej paskami E-test (P≤0.001). Paski E-test dawały odpowiednio ponad 260 i 125 razy wyższe mediany MIC i wartości MIC50 dla SXT i INH. W przeciwieństwie, mediany MIC i wartości MIC50 oznaczone paskami E-test były 30 razy niższe dla RIF i EMB oraz 5 razy niższe dla CLR i STR w porównaniu z metoda mikrorozcieńczeń. Najmniejsza różnica obserwowana była dla AMK, z ustalonymi medianami MIC i MIC50 na poziomie 2 mg/L (metoda rozcieńczeń) i 1,5 mg/L (paski E-test). Zgodność oznaczeń pomiędzy dwoma testami wyniosła 22,5% dla AMK, 4,8% dla STR, 3,2% dla CLR i 1,6% dla RIF. Żaden z wyników MIC nie był zgodny dla EMB, INH i SXT.</w:t>
      </w:r>
    </w:p>
    <w:p w:rsidR="00E36DA0" w:rsidRPr="00896F04" w:rsidRDefault="00E36DA0" w:rsidP="00896F0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96F04">
        <w:rPr>
          <w:rFonts w:ascii="Arial" w:hAnsi="Arial" w:cs="Arial"/>
          <w:sz w:val="20"/>
          <w:szCs w:val="20"/>
        </w:rPr>
        <w:t xml:space="preserve">Zidentyfikowano jedynie dwie mutacje które mogą w przyszłości posłużyć jako marker oporności w </w:t>
      </w:r>
      <w:r w:rsidRPr="00896F04">
        <w:rPr>
          <w:rFonts w:ascii="Arial" w:hAnsi="Arial" w:cs="Arial"/>
          <w:i/>
          <w:sz w:val="20"/>
          <w:szCs w:val="20"/>
        </w:rPr>
        <w:t>M. kansasii</w:t>
      </w:r>
      <w:r w:rsidRPr="00896F04">
        <w:rPr>
          <w:rFonts w:ascii="Arial" w:hAnsi="Arial" w:cs="Arial"/>
          <w:sz w:val="20"/>
          <w:szCs w:val="20"/>
        </w:rPr>
        <w:t xml:space="preserve"> (A2266C w genie </w:t>
      </w:r>
      <w:r w:rsidRPr="00896F04">
        <w:rPr>
          <w:rFonts w:ascii="Arial" w:hAnsi="Arial" w:cs="Arial"/>
          <w:i/>
          <w:sz w:val="20"/>
          <w:szCs w:val="20"/>
        </w:rPr>
        <w:t xml:space="preserve">rrl </w:t>
      </w:r>
      <w:r w:rsidRPr="00896F04">
        <w:rPr>
          <w:rFonts w:ascii="Arial" w:hAnsi="Arial" w:cs="Arial"/>
          <w:sz w:val="20"/>
          <w:szCs w:val="20"/>
        </w:rPr>
        <w:t xml:space="preserve">wykrytą w jednym szczepie opornym na CLR oraz A128G </w:t>
      </w:r>
      <w:r w:rsidR="00C23448" w:rsidRPr="00896F04">
        <w:rPr>
          <w:rFonts w:ascii="Arial" w:hAnsi="Arial" w:cs="Arial"/>
          <w:sz w:val="20"/>
          <w:szCs w:val="20"/>
        </w:rPr>
        <w:t xml:space="preserve">w genie </w:t>
      </w:r>
      <w:r w:rsidR="00C23448" w:rsidRPr="00896F04">
        <w:rPr>
          <w:rFonts w:ascii="Arial" w:hAnsi="Arial" w:cs="Arial"/>
          <w:i/>
          <w:sz w:val="20"/>
          <w:szCs w:val="20"/>
        </w:rPr>
        <w:t>rpsL</w:t>
      </w:r>
      <w:r w:rsidR="00C23448" w:rsidRPr="00896F04">
        <w:rPr>
          <w:rFonts w:ascii="Arial" w:hAnsi="Arial" w:cs="Arial"/>
          <w:sz w:val="20"/>
          <w:szCs w:val="20"/>
        </w:rPr>
        <w:t xml:space="preserve"> wykrytą w </w:t>
      </w:r>
      <w:r w:rsidRPr="00896F04">
        <w:rPr>
          <w:rFonts w:ascii="Arial" w:hAnsi="Arial" w:cs="Arial"/>
          <w:sz w:val="20"/>
          <w:szCs w:val="20"/>
        </w:rPr>
        <w:t>szczepie o wysokim MIC (&gt;64 mg/L) dla STR).</w:t>
      </w:r>
    </w:p>
    <w:p w:rsidR="00896F04" w:rsidRDefault="00896F04" w:rsidP="00896F0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85250" w:rsidRPr="00896F04" w:rsidRDefault="00896F04" w:rsidP="00896F04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96F04">
        <w:rPr>
          <w:rFonts w:ascii="Arial" w:hAnsi="Arial" w:cs="Arial"/>
          <w:b/>
          <w:sz w:val="20"/>
          <w:szCs w:val="20"/>
        </w:rPr>
        <w:lastRenderedPageBreak/>
        <w:t>Wnioski</w:t>
      </w:r>
      <w:r>
        <w:rPr>
          <w:rFonts w:ascii="Arial" w:hAnsi="Arial" w:cs="Arial"/>
          <w:b/>
          <w:sz w:val="20"/>
          <w:szCs w:val="20"/>
        </w:rPr>
        <w:t>:</w:t>
      </w:r>
    </w:p>
    <w:p w:rsidR="002C1034" w:rsidRPr="00896F04" w:rsidRDefault="002C1034" w:rsidP="00896F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6F04">
        <w:rPr>
          <w:rFonts w:ascii="Arial" w:eastAsia="Times New Roman" w:hAnsi="Arial" w:cs="Arial"/>
          <w:sz w:val="20"/>
          <w:szCs w:val="20"/>
        </w:rPr>
        <w:t xml:space="preserve">Otrzymane wyniki wskazują na wysoką lekowrażliwość szczepów klinicznych </w:t>
      </w:r>
      <w:r w:rsidRPr="00896F04">
        <w:rPr>
          <w:rFonts w:ascii="Arial" w:eastAsia="Times New Roman" w:hAnsi="Arial" w:cs="Arial"/>
          <w:i/>
          <w:sz w:val="20"/>
          <w:szCs w:val="20"/>
        </w:rPr>
        <w:t xml:space="preserve">M. kansasii </w:t>
      </w:r>
      <w:r w:rsidRPr="00896F04">
        <w:rPr>
          <w:rFonts w:ascii="Arial" w:eastAsia="Times New Roman" w:hAnsi="Arial" w:cs="Arial"/>
          <w:sz w:val="20"/>
          <w:szCs w:val="20"/>
        </w:rPr>
        <w:t>na RIF, CLR, AMK, SXT, RFB, MXF, LZD i ETO</w:t>
      </w:r>
      <w:r w:rsidR="007151D4" w:rsidRPr="00896F04">
        <w:rPr>
          <w:rFonts w:ascii="Arial" w:eastAsia="Times New Roman" w:hAnsi="Arial" w:cs="Arial"/>
          <w:sz w:val="20"/>
          <w:szCs w:val="20"/>
        </w:rPr>
        <w:t>.</w:t>
      </w:r>
    </w:p>
    <w:p w:rsidR="00377E2E" w:rsidRPr="00896F04" w:rsidRDefault="002C1034" w:rsidP="00896F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6F04">
        <w:rPr>
          <w:rFonts w:ascii="Arial" w:hAnsi="Arial" w:cs="Arial"/>
          <w:sz w:val="20"/>
          <w:szCs w:val="20"/>
        </w:rPr>
        <w:t xml:space="preserve">Paski E-test dawały rozbieżne oznaczenia względem referencyjnej metody rozcieńczeń. Ich stosowanie w oznaczaniu lekowrażliwości </w:t>
      </w:r>
      <w:r w:rsidRPr="00896F04">
        <w:rPr>
          <w:rFonts w:ascii="Arial" w:hAnsi="Arial" w:cs="Arial"/>
          <w:i/>
          <w:sz w:val="20"/>
          <w:szCs w:val="20"/>
        </w:rPr>
        <w:t xml:space="preserve">M. kansasii </w:t>
      </w:r>
      <w:r w:rsidR="00C23448" w:rsidRPr="00896F04">
        <w:rPr>
          <w:rFonts w:ascii="Arial" w:hAnsi="Arial" w:cs="Arial"/>
          <w:sz w:val="20"/>
          <w:szCs w:val="20"/>
        </w:rPr>
        <w:t>jest więc nie</w:t>
      </w:r>
      <w:r w:rsidRPr="00896F04">
        <w:rPr>
          <w:rFonts w:ascii="Arial" w:hAnsi="Arial" w:cs="Arial"/>
          <w:sz w:val="20"/>
          <w:szCs w:val="20"/>
        </w:rPr>
        <w:t xml:space="preserve">zalecane. </w:t>
      </w:r>
    </w:p>
    <w:p w:rsidR="007151D4" w:rsidRPr="00896F04" w:rsidRDefault="007151D4" w:rsidP="00896F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96F04">
        <w:rPr>
          <w:rFonts w:ascii="Arial" w:eastAsia="Times New Roman" w:hAnsi="Arial" w:cs="Arial"/>
          <w:sz w:val="20"/>
          <w:szCs w:val="20"/>
        </w:rPr>
        <w:t xml:space="preserve">Molekularne podstawy oporności </w:t>
      </w:r>
      <w:r w:rsidRPr="00896F04">
        <w:rPr>
          <w:rFonts w:ascii="Arial" w:eastAsia="Times New Roman" w:hAnsi="Arial" w:cs="Arial"/>
          <w:i/>
          <w:sz w:val="20"/>
          <w:szCs w:val="20"/>
        </w:rPr>
        <w:t>M. kansasii</w:t>
      </w:r>
      <w:r w:rsidRPr="00896F04">
        <w:rPr>
          <w:rFonts w:ascii="Arial" w:eastAsia="Times New Roman" w:hAnsi="Arial" w:cs="Arial"/>
          <w:sz w:val="20"/>
          <w:szCs w:val="20"/>
        </w:rPr>
        <w:t xml:space="preserve"> wydają się różni</w:t>
      </w:r>
      <w:r w:rsidR="00C23448" w:rsidRPr="00896F04">
        <w:rPr>
          <w:rFonts w:ascii="Arial" w:eastAsia="Times New Roman" w:hAnsi="Arial" w:cs="Arial"/>
          <w:sz w:val="20"/>
          <w:szCs w:val="20"/>
        </w:rPr>
        <w:t>ć</w:t>
      </w:r>
      <w:r w:rsidRPr="00896F04">
        <w:rPr>
          <w:rFonts w:ascii="Arial" w:eastAsia="Times New Roman" w:hAnsi="Arial" w:cs="Arial"/>
          <w:sz w:val="20"/>
          <w:szCs w:val="20"/>
        </w:rPr>
        <w:t xml:space="preserve"> od tych identyfikowanych w</w:t>
      </w:r>
      <w:r w:rsidR="00C23448" w:rsidRPr="00896F04">
        <w:rPr>
          <w:rFonts w:ascii="Arial" w:eastAsia="Times New Roman" w:hAnsi="Arial" w:cs="Arial"/>
          <w:sz w:val="20"/>
          <w:szCs w:val="20"/>
        </w:rPr>
        <w:t> </w:t>
      </w:r>
      <w:r w:rsidRPr="00896F04">
        <w:rPr>
          <w:rFonts w:ascii="Arial" w:eastAsia="Times New Roman" w:hAnsi="Arial" w:cs="Arial"/>
          <w:i/>
          <w:sz w:val="20"/>
          <w:szCs w:val="20"/>
        </w:rPr>
        <w:t>M. tuberculosis</w:t>
      </w:r>
      <w:r w:rsidRPr="00896F04">
        <w:rPr>
          <w:rFonts w:ascii="Arial" w:eastAsia="Times New Roman" w:hAnsi="Arial" w:cs="Arial"/>
          <w:sz w:val="20"/>
          <w:szCs w:val="20"/>
        </w:rPr>
        <w:t xml:space="preserve">. Niezbędne są więc dalsze badania ukierunkowane na poszukiwanie skutecznych markerów lekooporności dla tego gatunku. </w:t>
      </w:r>
    </w:p>
    <w:sectPr w:rsidR="007151D4" w:rsidRPr="00896F04" w:rsidSect="008B6FA4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122" w:rsidRDefault="00530122" w:rsidP="008B6FA4">
      <w:pPr>
        <w:spacing w:after="0" w:line="240" w:lineRule="auto"/>
      </w:pPr>
      <w:r>
        <w:separator/>
      </w:r>
    </w:p>
  </w:endnote>
  <w:endnote w:type="continuationSeparator" w:id="0">
    <w:p w:rsidR="00530122" w:rsidRDefault="00530122" w:rsidP="008B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122" w:rsidRDefault="00530122" w:rsidP="008B6FA4">
      <w:pPr>
        <w:spacing w:after="0" w:line="240" w:lineRule="auto"/>
      </w:pPr>
      <w:r>
        <w:separator/>
      </w:r>
    </w:p>
  </w:footnote>
  <w:footnote w:type="continuationSeparator" w:id="0">
    <w:p w:rsidR="00530122" w:rsidRDefault="00530122" w:rsidP="008B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02C5"/>
    <w:multiLevelType w:val="hybridMultilevel"/>
    <w:tmpl w:val="CEFE86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886D09"/>
    <w:multiLevelType w:val="hybridMultilevel"/>
    <w:tmpl w:val="4F1A31C2"/>
    <w:lvl w:ilvl="0" w:tplc="5290CA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250"/>
    <w:rsid w:val="0001756E"/>
    <w:rsid w:val="00027C6F"/>
    <w:rsid w:val="00034C65"/>
    <w:rsid w:val="00044A41"/>
    <w:rsid w:val="00044B3B"/>
    <w:rsid w:val="0006233F"/>
    <w:rsid w:val="000B392B"/>
    <w:rsid w:val="000F6547"/>
    <w:rsid w:val="00114148"/>
    <w:rsid w:val="00114654"/>
    <w:rsid w:val="001326E1"/>
    <w:rsid w:val="001428CD"/>
    <w:rsid w:val="001A780D"/>
    <w:rsid w:val="001B0D6D"/>
    <w:rsid w:val="001C715D"/>
    <w:rsid w:val="001F6624"/>
    <w:rsid w:val="00206026"/>
    <w:rsid w:val="00216F74"/>
    <w:rsid w:val="00223772"/>
    <w:rsid w:val="002420D5"/>
    <w:rsid w:val="00250186"/>
    <w:rsid w:val="00276AC2"/>
    <w:rsid w:val="002C1034"/>
    <w:rsid w:val="003342BE"/>
    <w:rsid w:val="00335274"/>
    <w:rsid w:val="00361086"/>
    <w:rsid w:val="00377E2E"/>
    <w:rsid w:val="00381CC5"/>
    <w:rsid w:val="003C1904"/>
    <w:rsid w:val="004222A7"/>
    <w:rsid w:val="004657E2"/>
    <w:rsid w:val="00485250"/>
    <w:rsid w:val="004A3CF2"/>
    <w:rsid w:val="004F0FAC"/>
    <w:rsid w:val="00530122"/>
    <w:rsid w:val="00604850"/>
    <w:rsid w:val="00605DB9"/>
    <w:rsid w:val="00605EB1"/>
    <w:rsid w:val="006507A1"/>
    <w:rsid w:val="006531A6"/>
    <w:rsid w:val="006A091F"/>
    <w:rsid w:val="006C0FC3"/>
    <w:rsid w:val="006E2CD3"/>
    <w:rsid w:val="007151D4"/>
    <w:rsid w:val="00715F45"/>
    <w:rsid w:val="00751B4A"/>
    <w:rsid w:val="00772BC6"/>
    <w:rsid w:val="00786C27"/>
    <w:rsid w:val="007937DE"/>
    <w:rsid w:val="007C16E3"/>
    <w:rsid w:val="007C6934"/>
    <w:rsid w:val="007D7EE3"/>
    <w:rsid w:val="007F03BF"/>
    <w:rsid w:val="00802F98"/>
    <w:rsid w:val="00853662"/>
    <w:rsid w:val="00896F04"/>
    <w:rsid w:val="008A781E"/>
    <w:rsid w:val="008B6FA4"/>
    <w:rsid w:val="008C2694"/>
    <w:rsid w:val="008F0741"/>
    <w:rsid w:val="009B67AE"/>
    <w:rsid w:val="009C66EC"/>
    <w:rsid w:val="00A31A3F"/>
    <w:rsid w:val="00A32299"/>
    <w:rsid w:val="00A76357"/>
    <w:rsid w:val="00A83AD0"/>
    <w:rsid w:val="00AD04BE"/>
    <w:rsid w:val="00BD5368"/>
    <w:rsid w:val="00BE433F"/>
    <w:rsid w:val="00C23448"/>
    <w:rsid w:val="00C41824"/>
    <w:rsid w:val="00C854A3"/>
    <w:rsid w:val="00D73B00"/>
    <w:rsid w:val="00D75E2E"/>
    <w:rsid w:val="00D769F1"/>
    <w:rsid w:val="00DC0DDC"/>
    <w:rsid w:val="00DD411F"/>
    <w:rsid w:val="00DD5B7E"/>
    <w:rsid w:val="00DD7465"/>
    <w:rsid w:val="00E24839"/>
    <w:rsid w:val="00E33A65"/>
    <w:rsid w:val="00E36DA0"/>
    <w:rsid w:val="00E502C8"/>
    <w:rsid w:val="00E53B2F"/>
    <w:rsid w:val="00E74D27"/>
    <w:rsid w:val="00E833A6"/>
    <w:rsid w:val="00E83B24"/>
    <w:rsid w:val="00EF2153"/>
    <w:rsid w:val="00F21276"/>
    <w:rsid w:val="00F400F8"/>
    <w:rsid w:val="00F424A5"/>
    <w:rsid w:val="00F75B7F"/>
    <w:rsid w:val="00F869D4"/>
    <w:rsid w:val="00F9177E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803C08"/>
  <w15:docId w15:val="{099036D1-E216-431B-8BF7-A1132A99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5250"/>
    <w:pPr>
      <w:spacing w:after="160" w:line="254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B6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B6FA4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8B6F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B6FA4"/>
    <w:rPr>
      <w:rFonts w:ascii="Calibri" w:hAnsi="Calibri"/>
      <w:sz w:val="22"/>
      <w:szCs w:val="22"/>
      <w:lang w:eastAsia="en-US"/>
    </w:rPr>
  </w:style>
  <w:style w:type="character" w:styleId="Hipercze">
    <w:name w:val="Hyperlink"/>
    <w:rsid w:val="008B6FA4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60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05D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rsid w:val="00BE43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433F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433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E433F"/>
    <w:rPr>
      <w:b/>
      <w:bCs/>
    </w:rPr>
  </w:style>
  <w:style w:type="character" w:customStyle="1" w:styleId="TematkomentarzaZnak">
    <w:name w:val="Temat komentarza Znak"/>
    <w:link w:val="Tematkomentarza"/>
    <w:rsid w:val="00BE433F"/>
    <w:rPr>
      <w:rFonts w:ascii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377E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jrnl">
    <w:name w:val="jrnl"/>
    <w:basedOn w:val="Domylnaczcionkaakapitu"/>
    <w:rsid w:val="00377E2E"/>
  </w:style>
  <w:style w:type="paragraph" w:styleId="Tekstprzypisukocowego">
    <w:name w:val="endnote text"/>
    <w:basedOn w:val="Normalny"/>
    <w:link w:val="TekstprzypisukocowegoZnak"/>
    <w:rsid w:val="007C69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6934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rsid w:val="007C69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4579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mailto:j@ptm.pl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Zofia Bakula</cp:lastModifiedBy>
  <cp:revision>7</cp:revision>
  <cp:lastPrinted>2016-02-08T08:15:00Z</cp:lastPrinted>
  <dcterms:created xsi:type="dcterms:W3CDTF">2017-06-14T14:47:00Z</dcterms:created>
  <dcterms:modified xsi:type="dcterms:W3CDTF">2017-10-23T07:50:00Z</dcterms:modified>
</cp:coreProperties>
</file>